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F4" w:rsidRPr="007737F4" w:rsidRDefault="007737F4" w:rsidP="007737F4">
      <w:pPr>
        <w:shd w:val="clear" w:color="auto" w:fill="FFFFFF"/>
        <w:spacing w:after="168" w:line="240" w:lineRule="auto"/>
        <w:outlineLvl w:val="0"/>
        <w:rPr>
          <w:rFonts w:ascii="Arial" w:eastAsia="Times New Roman" w:hAnsi="Arial" w:cs="Arial"/>
          <w:color w:val="5E4C74"/>
          <w:kern w:val="36"/>
          <w:sz w:val="67"/>
          <w:szCs w:val="67"/>
          <w:lang w:eastAsia="ru-RU"/>
        </w:rPr>
      </w:pPr>
      <w:r w:rsidRPr="007737F4">
        <w:rPr>
          <w:rFonts w:ascii="Arial" w:eastAsia="Times New Roman" w:hAnsi="Arial" w:cs="Arial"/>
          <w:color w:val="5E4C74"/>
          <w:kern w:val="36"/>
          <w:sz w:val="67"/>
          <w:szCs w:val="67"/>
          <w:lang w:eastAsia="ru-RU"/>
        </w:rPr>
        <w:t>правовые основы противодействия коррупции в Российской федерации</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bdr w:val="none" w:sz="0" w:space="0" w:color="auto" w:frame="1"/>
        </w:rPr>
      </w:pPr>
      <w:bookmarkStart w:id="0" w:name="_GoBack"/>
      <w:bookmarkEnd w:id="0"/>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hyperlink r:id="rId5" w:history="1">
        <w:proofErr w:type="gramStart"/>
        <w:r>
          <w:rPr>
            <w:rStyle w:val="a4"/>
            <w:rFonts w:ascii="Verdana" w:hAnsi="Verdana"/>
            <w:color w:val="E01D4A"/>
            <w:sz w:val="21"/>
            <w:szCs w:val="21"/>
            <w:bdr w:val="none" w:sz="0" w:space="0" w:color="auto" w:frame="1"/>
          </w:rPr>
          <w:t>Указом Президента Российской Федерации от 13.04.2010 года № 460</w:t>
        </w:r>
      </w:hyperlink>
      <w:r>
        <w:rPr>
          <w:rFonts w:ascii="Verdana" w:hAnsi="Verdana"/>
          <w:color w:val="333333"/>
          <w:sz w:val="21"/>
          <w:szCs w:val="21"/>
          <w:bdr w:val="none" w:sz="0" w:space="0" w:color="auto" w:frame="1"/>
        </w:rPr>
        <w:t> «О Национальной стратегии противодействия коррупции и Национальном плане противодействия коррупции на 2010-2011 годы» утверждена Национальная стратегия противодействия коррупции, которая представляет собой постоянно совершенствуемую систему мер организационного, экономического, правового, информационного и кадрового характера, учитывающую федеративное устройство России, охватывающую федеральный, региональный и муниципальный уровни, направленную на устранение коренных причин коррупции в обществе и последовательно</w:t>
      </w:r>
      <w:proofErr w:type="gramEnd"/>
      <w:r>
        <w:rPr>
          <w:rFonts w:ascii="Verdana" w:hAnsi="Verdana"/>
          <w:color w:val="333333"/>
          <w:sz w:val="21"/>
          <w:szCs w:val="21"/>
          <w:bdr w:val="none" w:sz="0" w:space="0" w:color="auto" w:frame="1"/>
        </w:rPr>
        <w:t xml:space="preserve"> реализуемую федеральными органами государственной власти, иными государственными органами, органами государственной власти субъектов РФ, органами </w:t>
      </w:r>
      <w:proofErr w:type="spellStart"/>
      <w:r>
        <w:rPr>
          <w:rFonts w:ascii="Verdana" w:hAnsi="Verdana"/>
          <w:color w:val="333333"/>
          <w:sz w:val="21"/>
          <w:szCs w:val="21"/>
          <w:bdr w:val="none" w:sz="0" w:space="0" w:color="auto" w:frame="1"/>
        </w:rPr>
        <w:t>местно</w:t>
      </w:r>
      <w:proofErr w:type="spellEnd"/>
      <w:r>
        <w:rPr>
          <w:rFonts w:ascii="Verdana" w:hAnsi="Verdana"/>
          <w:color w:val="333333"/>
          <w:sz w:val="21"/>
          <w:szCs w:val="21"/>
          <w:bdr w:val="none" w:sz="0" w:space="0" w:color="auto" w:frame="1"/>
        </w:rPr>
        <w:t xml:space="preserve"> самоуправления, институтами гражданского общества, организациями и физическими лицами.</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Стратегия содержит план действий, как правило, разрабатываемый на краткосрочную перспективу. Так, </w:t>
      </w:r>
      <w:hyperlink r:id="rId6" w:history="1">
        <w:r>
          <w:rPr>
            <w:rStyle w:val="a4"/>
            <w:rFonts w:ascii="Verdana" w:hAnsi="Verdana"/>
            <w:color w:val="E01D4A"/>
            <w:sz w:val="21"/>
            <w:szCs w:val="21"/>
            <w:bdr w:val="none" w:sz="0" w:space="0" w:color="auto" w:frame="1"/>
          </w:rPr>
          <w:t>Указом Президента РФ от 13.03.2012 г. № 297</w:t>
        </w:r>
      </w:hyperlink>
      <w:r>
        <w:rPr>
          <w:rFonts w:ascii="Verdana" w:hAnsi="Verdana"/>
          <w:color w:val="333333"/>
          <w:sz w:val="21"/>
          <w:szCs w:val="21"/>
          <w:bdr w:val="none" w:sz="0" w:space="0" w:color="auto" w:frame="1"/>
        </w:rPr>
        <w:t> был утверждён Национальный календарь противодействия коррупции на 2012-2013 годы.</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Центральное место в правовых основах борьбы с коррупцией занимает </w:t>
      </w:r>
      <w:hyperlink r:id="rId7" w:history="1">
        <w:r>
          <w:rPr>
            <w:rStyle w:val="a4"/>
            <w:rFonts w:ascii="Verdana" w:hAnsi="Verdana"/>
            <w:color w:val="E01D4A"/>
            <w:sz w:val="21"/>
            <w:szCs w:val="21"/>
            <w:bdr w:val="none" w:sz="0" w:space="0" w:color="auto" w:frame="1"/>
          </w:rPr>
          <w:t>Федеральный закон от 25.12.2008 г. № 273-ФЗ «О противодействии коррупции»</w:t>
        </w:r>
      </w:hyperlink>
      <w:r>
        <w:rPr>
          <w:rFonts w:ascii="Verdana" w:hAnsi="Verdana"/>
          <w:color w:val="333333"/>
          <w:sz w:val="21"/>
          <w:szCs w:val="21"/>
          <w:bdr w:val="none" w:sz="0" w:space="0" w:color="auto" w:frame="1"/>
        </w:rPr>
        <w:t xml:space="preserve"> (в редакции от 30.09.2013 г.). Федеральный закон «О противодействии коррупции» содержит основной понятийный аппарат в целях </w:t>
      </w:r>
      <w:proofErr w:type="spellStart"/>
      <w:r>
        <w:rPr>
          <w:rFonts w:ascii="Verdana" w:hAnsi="Verdana"/>
          <w:color w:val="333333"/>
          <w:sz w:val="21"/>
          <w:szCs w:val="21"/>
          <w:bdr w:val="none" w:sz="0" w:space="0" w:color="auto" w:frame="1"/>
        </w:rPr>
        <w:t>квалифицирования</w:t>
      </w:r>
      <w:proofErr w:type="spellEnd"/>
      <w:r>
        <w:rPr>
          <w:rFonts w:ascii="Verdana" w:hAnsi="Verdana"/>
          <w:color w:val="333333"/>
          <w:sz w:val="21"/>
          <w:szCs w:val="21"/>
          <w:bdr w:val="none" w:sz="0" w:space="0" w:color="auto" w:frame="1"/>
        </w:rPr>
        <w:t xml:space="preserve"> преступных деяний. </w:t>
      </w:r>
      <w:proofErr w:type="gramStart"/>
      <w:r>
        <w:rPr>
          <w:rFonts w:ascii="Verdana" w:hAnsi="Verdana"/>
          <w:color w:val="333333"/>
          <w:sz w:val="21"/>
          <w:szCs w:val="21"/>
          <w:bdr w:val="none" w:sz="0" w:space="0" w:color="auto" w:frame="1"/>
        </w:rPr>
        <w:t>Согласно статьи 1 закона </w:t>
      </w:r>
      <w:r>
        <w:rPr>
          <w:rFonts w:ascii="Verdana" w:hAnsi="Verdana"/>
          <w:b/>
          <w:bCs/>
          <w:color w:val="333333"/>
          <w:sz w:val="21"/>
          <w:szCs w:val="21"/>
          <w:bdr w:val="none" w:sz="0" w:space="0" w:color="auto" w:frame="1"/>
        </w:rPr>
        <w:t>коррупция</w:t>
      </w:r>
      <w:r>
        <w:rPr>
          <w:rFonts w:ascii="Verdana" w:hAnsi="Verdana"/>
          <w:color w:val="333333"/>
          <w:sz w:val="21"/>
          <w:szCs w:val="21"/>
          <w:bdr w:val="none" w:sz="0" w:space="0" w:color="auto" w:frame="1"/>
        </w:rPr>
        <w:t>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w:t>
      </w:r>
      <w:proofErr w:type="gramEnd"/>
      <w:r>
        <w:rPr>
          <w:rFonts w:ascii="Verdana" w:hAnsi="Verdana"/>
          <w:color w:val="333333"/>
          <w:sz w:val="21"/>
          <w:szCs w:val="21"/>
          <w:bdr w:val="none" w:sz="0" w:space="0" w:color="auto" w:frame="1"/>
        </w:rPr>
        <w:t xml:space="preserve"> указанному лицу другими физическими лицами».</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В Федеральном законе «О противодействии коррупции» определяется, что </w:t>
      </w:r>
      <w:r>
        <w:rPr>
          <w:rFonts w:ascii="Verdana" w:hAnsi="Verdana"/>
          <w:b/>
          <w:bCs/>
          <w:color w:val="333333"/>
          <w:sz w:val="21"/>
          <w:szCs w:val="21"/>
          <w:bdr w:val="none" w:sz="0" w:space="0" w:color="auto" w:frame="1"/>
        </w:rPr>
        <w:t>противодействие коррупции</w:t>
      </w:r>
      <w:r>
        <w:rPr>
          <w:rFonts w:ascii="Verdana" w:hAnsi="Verdana"/>
          <w:color w:val="333333"/>
          <w:sz w:val="21"/>
          <w:szCs w:val="21"/>
          <w:bdr w:val="none" w:sz="0" w:space="0" w:color="auto" w:frame="1"/>
        </w:rPr>
        <w:t> как деятельность федеральных органов государственной власти, органов государственной власти субъектов РФ, органов местного самоуправления и иных руководителей структурных подразделений, институтов гражданского общества, организаций и физических лиц по профилактике и борьбе с коррупцией осуществляется в пределах их полномочий.</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 xml:space="preserve">Одним их ключевых направлений деятельности по повышению эффективности противодействия коррупции является совершенствование системы и структуры государственных органов, создание механизмов общественного </w:t>
      </w:r>
      <w:proofErr w:type="gramStart"/>
      <w:r>
        <w:rPr>
          <w:rFonts w:ascii="Verdana" w:hAnsi="Verdana"/>
          <w:color w:val="333333"/>
          <w:sz w:val="21"/>
          <w:szCs w:val="21"/>
          <w:bdr w:val="none" w:sz="0" w:space="0" w:color="auto" w:frame="1"/>
        </w:rPr>
        <w:t>контроля за</w:t>
      </w:r>
      <w:proofErr w:type="gramEnd"/>
      <w:r>
        <w:rPr>
          <w:rFonts w:ascii="Verdana" w:hAnsi="Verdana"/>
          <w:color w:val="333333"/>
          <w:sz w:val="21"/>
          <w:szCs w:val="21"/>
          <w:bdr w:val="none" w:sz="0" w:space="0" w:color="auto" w:frame="1"/>
        </w:rPr>
        <w:t xml:space="preserve"> их деятельностью.</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В статье 5 Федерального закона «О противодействии коррупции» закреплены организационные основы противодействия коррупции. Ключевой фигурой является Президент РФ, который в соответствии с Конституцией РФ определяет основные направления государственной политики, в том числе в области противодействия коррупции.</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 xml:space="preserve">В статье 9 Федерального закона «О противодействии коррупции» чётко прослеживается антикоррупционное начало, которое должно исходить от самого служащего: «государственный или муниципальный служащий обязан уведомлять </w:t>
      </w:r>
      <w:r>
        <w:rPr>
          <w:rFonts w:ascii="Verdana" w:hAnsi="Verdana"/>
          <w:color w:val="333333"/>
          <w:sz w:val="21"/>
          <w:szCs w:val="21"/>
          <w:bdr w:val="none" w:sz="0" w:space="0" w:color="auto" w:frame="1"/>
        </w:rPr>
        <w:lastRenderedPageBreak/>
        <w:t>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Данное действие возможно только при хорошо развитых институтах гражданского общества, высокой культуре правосознания, хорошем экономическом содержании должностного лица и при его стимулировании в случае исполнения данного юридического поступка.</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служебная проверка, является должностной обязанностью государственного или муниципального служащего. Её невыполнение является правонарушением, влекущим увольнение либо привлечение к иным видам ответственности в соответствии с законодательством РФ.</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proofErr w:type="gramStart"/>
      <w:r>
        <w:rPr>
          <w:rFonts w:ascii="Verdana" w:hAnsi="Verdana"/>
          <w:color w:val="333333"/>
          <w:sz w:val="21"/>
          <w:szCs w:val="21"/>
          <w:bdr w:val="none" w:sz="0" w:space="0" w:color="auto" w:frame="1"/>
        </w:rPr>
        <w:t>Государственный или муниципальный служащий, уведомивший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РФ.</w:t>
      </w:r>
      <w:proofErr w:type="gramEnd"/>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При прохождении государственной или муниципальной службы может возникнуть </w:t>
      </w:r>
      <w:r>
        <w:rPr>
          <w:rFonts w:ascii="Verdana" w:hAnsi="Verdana"/>
          <w:b/>
          <w:bCs/>
          <w:color w:val="333333"/>
          <w:sz w:val="21"/>
          <w:szCs w:val="21"/>
          <w:bdr w:val="none" w:sz="0" w:space="0" w:color="auto" w:frame="1"/>
        </w:rPr>
        <w:t>конфликт интересов</w:t>
      </w:r>
      <w:r>
        <w:rPr>
          <w:rFonts w:ascii="Verdana" w:hAnsi="Verdana"/>
          <w:color w:val="333333"/>
          <w:sz w:val="21"/>
          <w:szCs w:val="21"/>
          <w:bdr w:val="none" w:sz="0" w:space="0" w:color="auto" w:frame="1"/>
        </w:rPr>
        <w:t xml:space="preserve">. </w:t>
      </w:r>
      <w:proofErr w:type="gramStart"/>
      <w:r>
        <w:rPr>
          <w:rFonts w:ascii="Verdana" w:hAnsi="Verdana"/>
          <w:color w:val="333333"/>
          <w:sz w:val="21"/>
          <w:szCs w:val="21"/>
          <w:bdr w:val="none" w:sz="0" w:space="0" w:color="auto" w:frame="1"/>
        </w:rPr>
        <w:t>Статья 10 Федерального закона «О противодействии коррупции» описывает его как ситуацию,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w:t>
      </w:r>
      <w:proofErr w:type="gramEnd"/>
      <w:r>
        <w:rPr>
          <w:rFonts w:ascii="Verdana" w:hAnsi="Verdana"/>
          <w:color w:val="333333"/>
          <w:sz w:val="21"/>
          <w:szCs w:val="21"/>
          <w:bdr w:val="none" w:sz="0" w:space="0" w:color="auto" w:frame="1"/>
        </w:rPr>
        <w:t xml:space="preserve"> к причинению вреда правам и законным интересам граждан, организаций, общества или государства».</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Данные деяния могут выражаться в виде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Государственный или муниципальный служащий обязан в письменной форме уведомить своего непосредственного начальника о конфликте интересов или о возможности его возникновения, как только ему станет об этом известно.</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в отказе его от выгоды, явившейся причиной возникновения конфликта интересов. Непринятие служащим мер по предотвращению или урегулированию конфликта интересов является правонарушением, влекущим его увольнение в соответствии с законодательством РФ.</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Пункт 33 статьи 2 </w:t>
      </w:r>
      <w:hyperlink r:id="rId8" w:history="1">
        <w:r>
          <w:rPr>
            <w:rStyle w:val="a4"/>
            <w:rFonts w:ascii="Verdana" w:hAnsi="Verdana"/>
            <w:color w:val="E01D4A"/>
            <w:sz w:val="21"/>
            <w:szCs w:val="21"/>
            <w:bdr w:val="none" w:sz="0" w:space="0" w:color="auto" w:frame="1"/>
          </w:rPr>
          <w:t>Федерального закона от 29.12.2012 г. № 273-ФЗ «Об образовании в Российской Федерации»</w:t>
        </w:r>
      </w:hyperlink>
      <w:r>
        <w:rPr>
          <w:rFonts w:ascii="Verdana" w:hAnsi="Verdana"/>
          <w:color w:val="333333"/>
          <w:sz w:val="21"/>
          <w:szCs w:val="21"/>
          <w:bdr w:val="none" w:sz="0" w:space="0" w:color="auto" w:frame="1"/>
        </w:rPr>
        <w:t> определяет </w:t>
      </w:r>
      <w:r>
        <w:rPr>
          <w:rFonts w:ascii="Verdana" w:hAnsi="Verdana"/>
          <w:b/>
          <w:bCs/>
          <w:color w:val="333333"/>
          <w:sz w:val="21"/>
          <w:szCs w:val="21"/>
          <w:bdr w:val="none" w:sz="0" w:space="0" w:color="auto" w:frame="1"/>
        </w:rPr>
        <w:t>конфликт интересов педагогического работника</w:t>
      </w:r>
      <w:r>
        <w:rPr>
          <w:rFonts w:ascii="Verdana" w:hAnsi="Verdana"/>
          <w:color w:val="333333"/>
          <w:sz w:val="21"/>
          <w:szCs w:val="21"/>
          <w:bdr w:val="none" w:sz="0" w:space="0" w:color="auto" w:frame="1"/>
        </w:rPr>
        <w:t xml:space="preserve"> как ситуацию,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w:t>
      </w:r>
      <w:proofErr w:type="gramStart"/>
      <w:r>
        <w:rPr>
          <w:rFonts w:ascii="Verdana" w:hAnsi="Verdana"/>
          <w:color w:val="333333"/>
          <w:sz w:val="21"/>
          <w:szCs w:val="21"/>
          <w:bdr w:val="none" w:sz="0" w:space="0" w:color="auto" w:frame="1"/>
        </w:rPr>
        <w:t>между</w:t>
      </w:r>
      <w:proofErr w:type="gramEnd"/>
      <w:r>
        <w:rPr>
          <w:rFonts w:ascii="Verdana" w:hAnsi="Verdana"/>
          <w:color w:val="333333"/>
          <w:sz w:val="21"/>
          <w:szCs w:val="21"/>
          <w:bdr w:val="none" w:sz="0" w:space="0" w:color="auto" w:frame="1"/>
        </w:rPr>
        <w:t xml:space="preserve"> </w:t>
      </w:r>
      <w:proofErr w:type="gramStart"/>
      <w:r>
        <w:rPr>
          <w:rFonts w:ascii="Verdana" w:hAnsi="Verdana"/>
          <w:color w:val="333333"/>
          <w:sz w:val="21"/>
          <w:szCs w:val="21"/>
          <w:bdr w:val="none" w:sz="0" w:space="0" w:color="auto" w:frame="1"/>
        </w:rPr>
        <w:t>его</w:t>
      </w:r>
      <w:proofErr w:type="gramEnd"/>
      <w:r>
        <w:rPr>
          <w:rFonts w:ascii="Verdana" w:hAnsi="Verdana"/>
          <w:color w:val="333333"/>
          <w:sz w:val="21"/>
          <w:szCs w:val="21"/>
          <w:bdr w:val="none" w:sz="0" w:space="0" w:color="auto" w:frame="1"/>
        </w:rPr>
        <w:t xml:space="preserve"> личной заинтересованностью и интересами обучающихся, родителей несовершеннолетних обучающихся». Так, если педагог оказывает дополнительные платные образовательные услуги, у него может возникнуть </w:t>
      </w:r>
      <w:r>
        <w:rPr>
          <w:rFonts w:ascii="Verdana" w:hAnsi="Verdana"/>
          <w:color w:val="333333"/>
          <w:sz w:val="21"/>
          <w:szCs w:val="21"/>
          <w:bdr w:val="none" w:sz="0" w:space="0" w:color="auto" w:frame="1"/>
        </w:rPr>
        <w:lastRenderedPageBreak/>
        <w:t>заинтересованность в том, чтобы ученики, которых он обучает, имели низкий уровень знаний или их родители считали уровень знаний своих детей таковым.</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 xml:space="preserve">Согласно статье 48 Федерального закона от 29.12.2012 г. № 273-ФЗ «Об образовании в Российской Федерации»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образовательные услуги обучающимся в данной организации, если это приводит к конфликту интересов педагогического работника. Конфликт может быть решён обращением родителей </w:t>
      </w:r>
      <w:proofErr w:type="gramStart"/>
      <w:r>
        <w:rPr>
          <w:rFonts w:ascii="Verdana" w:hAnsi="Verdana"/>
          <w:color w:val="333333"/>
          <w:sz w:val="21"/>
          <w:szCs w:val="21"/>
          <w:bdr w:val="none" w:sz="0" w:space="0" w:color="auto" w:frame="1"/>
        </w:rPr>
        <w:t>обучающегося</w:t>
      </w:r>
      <w:proofErr w:type="gramEnd"/>
      <w:r>
        <w:rPr>
          <w:rFonts w:ascii="Verdana" w:hAnsi="Verdana"/>
          <w:color w:val="333333"/>
          <w:sz w:val="21"/>
          <w:szCs w:val="21"/>
          <w:bdr w:val="none" w:sz="0" w:space="0" w:color="auto" w:frame="1"/>
        </w:rPr>
        <w:t xml:space="preserve"> в комиссию по урегулированию споров.</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Статья 13 Федерального закона «О противодействии коррупции» предусматривает </w:t>
      </w:r>
      <w:r>
        <w:rPr>
          <w:rFonts w:ascii="Verdana" w:hAnsi="Verdana"/>
          <w:b/>
          <w:bCs/>
          <w:color w:val="333333"/>
          <w:sz w:val="21"/>
          <w:szCs w:val="21"/>
          <w:bdr w:val="none" w:sz="0" w:space="0" w:color="auto" w:frame="1"/>
        </w:rPr>
        <w:t>ответственность физических лиц за коррупционные правонарушения</w:t>
      </w:r>
      <w:r>
        <w:rPr>
          <w:rFonts w:ascii="Verdana" w:hAnsi="Verdana"/>
          <w:color w:val="333333"/>
          <w:sz w:val="21"/>
          <w:szCs w:val="21"/>
          <w:bdr w:val="none" w:sz="0" w:space="0" w:color="auto" w:frame="1"/>
        </w:rPr>
        <w:t>:</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2.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определённые должности государственной и муниципальной службы».</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Согласно статье 13.1 Федерального закона «О противодействии коррупции» </w:t>
      </w:r>
      <w:r>
        <w:rPr>
          <w:rFonts w:ascii="Verdana" w:hAnsi="Verdana"/>
          <w:b/>
          <w:bCs/>
          <w:color w:val="333333"/>
          <w:sz w:val="21"/>
          <w:szCs w:val="21"/>
          <w:bdr w:val="none" w:sz="0" w:space="0" w:color="auto" w:frame="1"/>
        </w:rPr>
        <w:t>увольнение (освобождение от должности) в связи с утратой доверия</w:t>
      </w:r>
      <w:r>
        <w:rPr>
          <w:rFonts w:ascii="Verdana" w:hAnsi="Verdana"/>
          <w:color w:val="333333"/>
          <w:sz w:val="21"/>
          <w:szCs w:val="21"/>
          <w:bdr w:val="none" w:sz="0" w:space="0" w:color="auto" w:frame="1"/>
        </w:rPr>
        <w:t> осуществляется в случаях:</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непринятия лицом мер по предотвращению и урегулированию конфликта интересов, стороной которого оно является;</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осуществления предпринимательской деятельности;</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законодательством РФ;</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в случае непринятия лицом, замещающим государственную должность РФ, государственную должность субъекта РФ, муниципальную должность, мер по предотвращению или урегулированию конфликта интересов, стороной которого является подчинённое лицо.</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Одним из наиболее действенных рычагов противодействия коррупции является уголовное законодательство, предусматривающее ответственность за коррупционные преступления физического лица.</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 xml:space="preserve">К коррупционным относят те составы преступлений, которые непосредственно связаны </w:t>
      </w:r>
      <w:proofErr w:type="gramStart"/>
      <w:r>
        <w:rPr>
          <w:rFonts w:ascii="Verdana" w:hAnsi="Verdana"/>
          <w:color w:val="333333"/>
          <w:sz w:val="21"/>
          <w:szCs w:val="21"/>
          <w:bdr w:val="none" w:sz="0" w:space="0" w:color="auto" w:frame="1"/>
        </w:rPr>
        <w:t>со</w:t>
      </w:r>
      <w:proofErr w:type="gramEnd"/>
      <w:r>
        <w:rPr>
          <w:rFonts w:ascii="Verdana" w:hAnsi="Verdana"/>
          <w:color w:val="333333"/>
          <w:sz w:val="21"/>
          <w:szCs w:val="21"/>
          <w:bdr w:val="none" w:sz="0" w:space="0" w:color="auto" w:frame="1"/>
        </w:rPr>
        <w:t xml:space="preserve"> взяточничеством и подкупом. В сфере образования  наибольшее распространение получили три группы, по которым наиболее часто привлекают к ответственности работников за совершённые преступления. В зависимости от качественных и количественных свойств они располагаются в определённой последовательности. Так, качественным свойством преступности в целом является её общественная опасность – под ней понимается угроза безопасности личности, обществу, государству. Для количественных свойств характерно то, что они определяются, прежде всего, по удельному весу в общем количестве зарегистрированных преступлений различной степени тяжести.</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b/>
          <w:bCs/>
          <w:color w:val="333333"/>
          <w:sz w:val="21"/>
          <w:szCs w:val="21"/>
          <w:bdr w:val="none" w:sz="0" w:space="0" w:color="auto" w:frame="1"/>
        </w:rPr>
        <w:t>1.      К первой группе относят:</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получение взятки (ст. 290 УК РФ)</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lastRenderedPageBreak/>
        <w:t>-        дача взятки (ст. 291 УК РФ)</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мошенничество (ст. 159 УК РФ)</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коммерческий подкуп (ст. 204 УК РФ)</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составы преступлений, которые сопряжены со злоупотреблением должностными полномочиями (ст. 285 УК РФ), либо злоупотреблениями полномочиями (ст. 201 УК РФ).</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b/>
          <w:bCs/>
          <w:color w:val="333333"/>
          <w:sz w:val="21"/>
          <w:szCs w:val="21"/>
          <w:bdr w:val="none" w:sz="0" w:space="0" w:color="auto" w:frame="1"/>
        </w:rPr>
        <w:t>2.      Ко второй группе коррупционных преступлений следует относить:</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присвоение и растрата (ст. 160 УК РФ)</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посредничество во взяточничестве (ст. 291 УК РФ)</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провокация взятки либо коммерческого подкупа (ст. 304 УК РФ)</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подкуп либо принуждение к даче показаний или уклонению от дачи показаний, либо неправильному переводу (ст. 309 УК РФ)</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Вышеуказанные составы преступлений объединяет наличие обоюдовыгодной неправомерной сделки со стороны виновного и других лиц, которые предполагают получение денег, ценностей, услуг и пр. При этом виновными признаются как лица, передающие указанные ценности, так и лица, принимающие незаконное вознаграждение за совершение или устранение от каких-либо действий в пользу дающего.</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b/>
          <w:bCs/>
          <w:color w:val="333333"/>
          <w:sz w:val="21"/>
          <w:szCs w:val="21"/>
          <w:bdr w:val="none" w:sz="0" w:space="0" w:color="auto" w:frame="1"/>
        </w:rPr>
        <w:t>3.      К третьей группе относятся преступления, посягающие на различные сферы общественных отношений:</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превышение должностных полномочий (ст. 286 УК РФ)</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подкуп участников и организаторов профессиональных спортивных соревнований и зрелищных коммерческих конкурсов (ст. 184 УК РФ)</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фальсификация доказательств (ст. 303 УК РФ)</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 xml:space="preserve">Указанные составы преступлений следует относить к </w:t>
      </w:r>
      <w:proofErr w:type="gramStart"/>
      <w:r>
        <w:rPr>
          <w:rFonts w:ascii="Verdana" w:hAnsi="Verdana"/>
          <w:color w:val="333333"/>
          <w:sz w:val="21"/>
          <w:szCs w:val="21"/>
          <w:bdr w:val="none" w:sz="0" w:space="0" w:color="auto" w:frame="1"/>
        </w:rPr>
        <w:t>коррупционным</w:t>
      </w:r>
      <w:proofErr w:type="gramEnd"/>
      <w:r>
        <w:rPr>
          <w:rFonts w:ascii="Verdana" w:hAnsi="Verdana"/>
          <w:color w:val="333333"/>
          <w:sz w:val="21"/>
          <w:szCs w:val="21"/>
          <w:bdr w:val="none" w:sz="0" w:space="0" w:color="auto" w:frame="1"/>
        </w:rPr>
        <w:t xml:space="preserve"> только при одном условии – когда при их совершении заранее оговариваются условия для передачи и получения в качестве вознаграждения денег, ценностей, предоставления услуг. Однако в таких случаях ответственность может наступать не за взяточничество и подкуп, а за деяния, косвенно относящиеся к </w:t>
      </w:r>
      <w:proofErr w:type="gramStart"/>
      <w:r>
        <w:rPr>
          <w:rFonts w:ascii="Verdana" w:hAnsi="Verdana"/>
          <w:color w:val="333333"/>
          <w:sz w:val="21"/>
          <w:szCs w:val="21"/>
          <w:bdr w:val="none" w:sz="0" w:space="0" w:color="auto" w:frame="1"/>
        </w:rPr>
        <w:t>коррупционным</w:t>
      </w:r>
      <w:proofErr w:type="gramEnd"/>
      <w:r>
        <w:rPr>
          <w:rFonts w:ascii="Verdana" w:hAnsi="Verdana"/>
          <w:color w:val="333333"/>
          <w:sz w:val="21"/>
          <w:szCs w:val="21"/>
          <w:bdr w:val="none" w:sz="0" w:space="0" w:color="auto" w:frame="1"/>
        </w:rPr>
        <w:t>.</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 xml:space="preserve">Следует также отметить, что законодательство к коррупционным </w:t>
      </w:r>
      <w:proofErr w:type="gramStart"/>
      <w:r>
        <w:rPr>
          <w:rFonts w:ascii="Verdana" w:hAnsi="Verdana"/>
          <w:color w:val="333333"/>
          <w:sz w:val="21"/>
          <w:szCs w:val="21"/>
          <w:bdr w:val="none" w:sz="0" w:space="0" w:color="auto" w:frame="1"/>
        </w:rPr>
        <w:t>относит</w:t>
      </w:r>
      <w:proofErr w:type="gramEnd"/>
      <w:r>
        <w:rPr>
          <w:rFonts w:ascii="Verdana" w:hAnsi="Verdana"/>
          <w:color w:val="333333"/>
          <w:sz w:val="21"/>
          <w:szCs w:val="21"/>
          <w:bdr w:val="none" w:sz="0" w:space="0" w:color="auto" w:frame="1"/>
        </w:rPr>
        <w:t xml:space="preserve"> прежде всего составы преступлений против государственной власти, интересов государственной службы и службы в органах местного самоуправления (гл. 30 УК РФ), а также преступления против интересов службы в коммерческих и иных организациях.</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В статье 14 Федерального закона «О противодействии коррупции», предусмотрена ответственность юридических лиц за коррупционные правонарушения.</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Кодекс Российской Федерации об административных правонарушениях (КоАП РФ) предусматривает денежные санкции для юридических лиц за коррупционные правонарушения:</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ст. 19.28 «Незаконное вознаграждение от имени юридического лица»;</w:t>
      </w:r>
    </w:p>
    <w:p w:rsidR="007737F4" w:rsidRDefault="007737F4" w:rsidP="007737F4">
      <w:pPr>
        <w:pStyle w:val="a3"/>
        <w:shd w:val="clear" w:color="auto" w:fill="FFFFFF"/>
        <w:spacing w:before="0" w:beforeAutospacing="0" w:after="0" w:afterAutospacing="0"/>
        <w:ind w:left="360"/>
        <w:jc w:val="both"/>
        <w:rPr>
          <w:rFonts w:ascii="Verdana" w:hAnsi="Verdana"/>
          <w:color w:val="333333"/>
          <w:sz w:val="21"/>
          <w:szCs w:val="21"/>
        </w:rPr>
      </w:pPr>
      <w:r>
        <w:rPr>
          <w:rFonts w:ascii="Verdana" w:hAnsi="Verdana"/>
          <w:color w:val="333333"/>
          <w:sz w:val="21"/>
          <w:szCs w:val="21"/>
          <w:bdr w:val="none" w:sz="0" w:space="0" w:color="auto" w:frame="1"/>
        </w:rPr>
        <w:t>-        ст.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служащего или муниципального служащего».</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В соответствии с ч. 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7737F4" w:rsidRDefault="007737F4" w:rsidP="007737F4">
      <w:pPr>
        <w:pStyle w:val="a3"/>
        <w:shd w:val="clear" w:color="auto" w:fill="FFFFFF"/>
        <w:spacing w:before="0" w:beforeAutospacing="0" w:after="0" w:afterAutospacing="0"/>
        <w:jc w:val="both"/>
        <w:rPr>
          <w:rFonts w:ascii="Verdana" w:hAnsi="Verdana"/>
          <w:color w:val="333333"/>
          <w:sz w:val="21"/>
          <w:szCs w:val="21"/>
        </w:rPr>
      </w:pPr>
      <w:r>
        <w:rPr>
          <w:rFonts w:ascii="Verdana" w:hAnsi="Verdana"/>
          <w:color w:val="333333"/>
          <w:sz w:val="21"/>
          <w:szCs w:val="21"/>
          <w:bdr w:val="none" w:sz="0" w:space="0" w:color="auto" w:frame="1"/>
        </w:rPr>
        <w:t>При этом ст. 19 УК РФ определяет, что уголовной ответственности подлежит только вменяемое физическое лицо, достигшее возраста, установленного настоящим кодексом.</w:t>
      </w:r>
    </w:p>
    <w:p w:rsidR="009C757E" w:rsidRDefault="009C757E"/>
    <w:sectPr w:rsidR="009C7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5A"/>
    <w:rsid w:val="007737F4"/>
    <w:rsid w:val="008C265A"/>
    <w:rsid w:val="009C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37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37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4866">
      <w:bodyDiv w:val="1"/>
      <w:marLeft w:val="0"/>
      <w:marRight w:val="0"/>
      <w:marTop w:val="0"/>
      <w:marBottom w:val="0"/>
      <w:divBdr>
        <w:top w:val="none" w:sz="0" w:space="0" w:color="auto"/>
        <w:left w:val="none" w:sz="0" w:space="0" w:color="auto"/>
        <w:bottom w:val="none" w:sz="0" w:space="0" w:color="auto"/>
        <w:right w:val="none" w:sz="0" w:space="0" w:color="auto"/>
      </w:divBdr>
    </w:div>
    <w:div w:id="21430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y64.ucoz.ru/_tbkp/korrypcia/zakon_ob_obrazovanii_273_ot_29.12.2012_g..docx" TargetMode="External"/><Relationship Id="rId3" Type="http://schemas.openxmlformats.org/officeDocument/2006/relationships/settings" Target="settings.xml"/><Relationship Id="rId7" Type="http://schemas.openxmlformats.org/officeDocument/2006/relationships/hyperlink" Target="http://doy64.ucoz.ru/_tbkp/korrypcia/federalnyj_zakon_o_protivodejstvii_korrupcii.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y64.ucoz.ru/_tbkp/korrypcia/ukaz_prezidenta_297.pdf" TargetMode="External"/><Relationship Id="rId5" Type="http://schemas.openxmlformats.org/officeDocument/2006/relationships/hyperlink" Target="http://doy64.ucoz.ru/_tbkp/korrypcia/ukaz_prezidenta_46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2021-03-02T10:50:00Z</dcterms:created>
  <dcterms:modified xsi:type="dcterms:W3CDTF">2021-03-02T10:51:00Z</dcterms:modified>
</cp:coreProperties>
</file>